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2003 4 vom 3. Dezember 2002</w:t>
      </w:r>
    </w:p>
    <w:p>
      <w:r>
        <w:t>GR Gerichte, 2002-12-03, DE</w:t>
      </w:r>
    </w:p>
    <w:p>
      <w:r>
        <w:rPr>
          <w:b/>
        </w:rPr>
        <w:t xml:space="preserve">Quelle: </w:t>
      </w:r>
      <w:r>
        <w:t>https://mcp.opencaselaw.ch/entscheid/gr_gerichte_PVG 2003 4</w:t>
      </w:r>
    </w:p>
    <w:p>
      <w:r>
        <w:t>FR: GR_GERICHTE PVG 2003 4 du 3 décembre 2002</w:t>
      </w:r>
    </w:p>
    <w:p>
      <w:r>
        <w:t>IT: GR_GERICHTE PVG 2003 4 del 3 dicembre 2002</w:t>
      </w:r>
    </w:p>
    <w:p>
      <w:pPr>
        <w:pStyle w:val="Heading2"/>
      </w:pPr>
      <w:r>
        <w:t>Erwägungen</w:t>
      </w:r>
    </w:p>
    <w:p>
      <w:r>
        <w:rPr>
          <w:b/>
        </w:rPr>
        <w:t>E. 1</w:t>
      </w:r>
    </w:p>
    <w:p>
      <w:r>
        <w:t>Gemäss Art. 13 Abs. 1 lit. f VGG beurteilt das Verwal- tungsgericht im Rekursverfahren Wahlen und Abstimmungen in Gemeinden, Kreisen und Bezirken, wobei bei Stimmrechtsbe- schwerden gegen Erlasse nur die Verletzung von Verfahrensvor- schriften geltend gemacht werden kann (vgl. VGU U 99 150; VGE 449/98). Das vom Verfassungsrecht des Bundes gewährleistete politische Stimmrecht gibt dem Bürger einen Anspruch darauf, dass kein Abstimmungsergebnis anerkannt wird, das nicht den freien Willen der Stimmbürger zuverlässig und unverfälscht zum</w:t>
      </w:r>
    </w:p>
    <w:p>
      <w:r>
        <w:rPr>
          <w:b/>
        </w:rPr>
        <w:t>E. 2</w:t>
      </w:r>
    </w:p>
    <w:p>
      <w:r>
        <w:t>/2 Politische Rechte PVG 2003 28 kutive nur nachkommen, wenn sie ihre eigenen Pläne und Ziele aktiv unterstützt und indem sie eindeutig angibt, was sie für das Allgemeininteresse als notwendig oder vorteilhaft betrachtet. Der Dialog zwischen der Exekutive und der öffentlichen Meinung, der sich z.B. im Rahmen der parlamentarischen Debatten abspiele, ferner auf Grund der Mitteilungen der Exekutive oder anlässlich öffentlicher Stellungnahmen der Behördemitglieder, sei ausser- dem ein unerlässlicher Bestandteil der Demokratie. Man müsse folglich der Exekutive das Recht – und sogar die Pflicht – zuerken- nen, ausserhalb der Zeitspannen unmittelbar vor der Abstim- mung in die politische Debatte einzugreifen, wie das Bundesge- richt in Pra 85 Nr. 92 unter Hinweis auf G.-A. Decurtins, Die rechtliche Stellung der Behörde im Abstimmungskampf, Fribourg 1992, S. 135 ff., und J. Ramseyer, Zur Problematik der behörd- lichen Information im Vorfeld von Wahlen und Abstimmungen, Basel 1992, S. 8/9 ausführte. Erst wenn der Volksentscheid nahe sei, sei die politische Behörde grundsätzlich verpflichtet, sich je- den Einflusses auf die Wählerschaft zu enthalten, damit diese sich unabhängig entscheiden könne. Diese Pflicht zur Zurückhaltung beginnt im Zeitpunkt, wo die Vorlage, welche zur Abstimmung un- terbreitet werden soll, von der zuständigen Behörde endgültig an- genommen oder empfangen worden ist (Decurtins, a.a.O., S. 113; Ramseyer, a.a.O., S. 22), d. h. vor allem wenn ein dem fakultativen oder obligatorischen Referendum unterliegendes Gesetz vom Par- lament angenommen worden ist oder wenn die Einreichung einer Volksinitiative offiziell bestätigt worden ist. Gemäss E. Grisel (Ini- tiative et référendum populaire, Lausanne 1987, S. 92 Ziff. 3) be- ginnt diese Pflicht sogar erst nach der offiziellen Einladung der Wählerschaft, mit der Zustellung der für sie bestimmten erläu- ternden Botschaft.</w:t>
      </w:r>
    </w:p>
    <w:p>
      <w:r>
        <w:rPr>
          <w:b/>
        </w:rPr>
        <w:t>E. 3</w:t>
      </w:r>
    </w:p>
    <w:p>
      <w:r>
        <w:t>31 3/3 Konzessionen und Bewilligungen PVG 2003 Massnahmen müssen den Grundsatz der Wirtschaftsfreiheit wah- ren (Art. 94 Abs. 1 BV), es sei denn, sie seien in der Bundesverfas- sung vorgesehen (sog. Verfassungsvorbehalt für abweichende Massnahmen; Art. 94 Abs. 4 BV; vgl. hiezu Giovanni Biaggini, § 49 Wirtschaftsfreiheit, N 17, in: Daniel Thürer/Jean-François Aubert/ Jörg Paul Müller, Verfassungsrecht der Schweiz, Zürich 2001, S. 786). Unzulässig bleiben – wie auch schon unter der alten Bundesverfassung – wirtschafts- oder standespolitische Massnah- men, die den freien Wettbewerb behindern, um gewisse Gewer- bezweige oder Bewirtschaftungsformen zu sichern oder zu be- günstigen. b) Dass das kantonale Departement für die Erteilung ge- sundheitspolizeilicher Bewilligungen (so u.a. die anbegehrte Stell- vertreterbewilligung) zuständig ist, ergibt sich aus Art. 6 Abs. 3 lit. b GesG. Einer Bewilligung für die Berufsausübung im Kanton Graubünden bedürfen Medizinalpersonen. Als solche gelten Ärzte, Zahnärzte und Apotheker (Art. 29 Abs. 1 und 2 GesG). Das Departement kann Medizinalpersonen die Bewilligung erteilen, insbesondere zu Ausbildungszwecken einen Assistenten zu be- schäftigen und bei Krankheit oder vorübergehender Abwesenheit einen Stellvertreter einzustellen. Die Bewilligungen können befri- stet werden (Art. 32 Abs. 1 GesG). Das Nähere, insbesondere die fachlichen Voraussetzungen für die Tätigkeit als Stellvertreter oder Assistent, wird von der Regierung durch Verordnung gere- gelt (Art. 32 Abs. 2 GesG). Dem letztgenannten Auftrag ist die Re- gierung mit der am 27. Oktober 1998 revidierten Verordnung über Stellvertreter und Assistenten von Medizinalpersonen nachge- kommen. Nach Art. 2 dieser Verordnung werden als Stellvertreter oder als Assistenten zugelassen: a) Inhaber des eidgenössischen Diploms b) Inhaber eines gleichwertigen anderen Diploms. Art. 29 GesG in Verbindung mit Art. 32 GesG und Art. 2 der erwähnten kantonalen Verordnung stellen eine hinreichende ge- setzliche Grundlage dafür dar, dass grundsätzlich nur Personen, welche über ein eidgenössisches Diplom verfügen bzw. Inhaber eines anderen gleichwertigen Diploms sind, eine Bewilligung zur (fachlich) selbständigen Berufsausübung als Apotheker Stellver- treter erhalten. Indem dieser Vorbehalt auf alle als Apotheker- Stellvertreter tätigen Personen in Graubünden, unabhängig da- von ob sie (wirtschaftlich) selbständig oder im Angestelltenver- hältnis tätig sind und ohne Rücksicht auf Kantonszugehörigkeit und/oder Nationalität einheitlich zur Anwendung gebracht wird,</w:t>
      </w:r>
    </w:p>
    <w:p>
      <w:r>
        <w:t>3/3 Konzessionen und Bewilligungen PVG 2003 32 können diese Bestimmungen weder als diskriminierend noch als rechtsungleich noch als verfassungswidrig betrachtet werden. Die Regelung steht, wie die Vorinstanz zu Recht erkannt hat, im Ein- klang mit Art. 2a des Bundesgesetzes betreffend die Freizügigkeit des Medizinalpersonals in der Schweiz, wonach lediglich Inhaber eines eidgenössischen Diploms zur (fachlich und wirtschaftlich) selbständigen Tätigkeit als Apotheker zugelassen sind. c) Das öffentliche Interesse, auch die Tätigkeit eines Apo- theker-Stellvertreters an den Diplomabschluss als Apotheker zu knüpfen, entspricht zweifellos dem gesundheitspolitischen Inter- esse, die Bevölkerung vor unzureichend qualifizierten Medizinal- personen zu schützen, ansonsten – wie vorliegend – eine so ge- nannte Verwalterapotheke von einer nicht über das erforderliche Diplom verfügenden Person geführt werden könnte, was der kan- tonale Gesetzgeber mit dem Erlass von Art. 2 der Verordnung ge- rade verhindern wollte. d) Die getroffene Regelung erweist sich auch als verhält- nismässig. Nach der Rechtsprechung des Bundesgerichtes kön- nen die Kantone die Ausübung gewisser Tätigkeiten vom Besitze eines Fähigkeitsausweises abhängig machen, dies jedoch nur, wenn die fragliche Tätigkeit Gefahren für das Publikum mit sich bringt, die nur durch beruflich besonders befähigte Personen in erheblichem Masse vermindert werden können (BGE 112 Ia 322 Erw. 4b). Diese Überlegungen gelten auch für den Bereich des Ge- sundheitswesens. Es besteht ein erhebliches öffentliches Inter- esse daran, dass im Gesundheitswesen nur fähige Personen tätig sind. Dieses darf jedoch nicht dazu missbraucht werden, aus stan- despolitischen Überlegungen den Zugang zu den Berufen des Ge- sundheitswesens stärker einzuschränken, als dies zur Wahrung der berechtigten gesundheitspolizeilichen Interessen gerechtfer- tigt ist. Ohne weiteres zulässig ist es, die Ausübung von Berufen der Gesundheitspflege bewilligungspflichtig zu erklären und die Erteilung der Bewilligung an den Nachweis fachlicher Fähigkeiten zu knüpfen. Aus dem Verhältnismässigkeitsprinzip folgt jedoch, dass nicht Anforderungen gestellt werden dürfen, die sachlich zum Schutz von Polizeigütern nicht gerechtfertigt sind. Vorliegend darf der Inhaber einer Assistentenbescheini- gung als Assistent (damit aber unter fachlicher Aufsicht) in einer Apotheke tätig sein. Verwehrt ist ihm hingegen – aus gesund- heitspolizeilichen Gründen – die Tätigkeit eines fachlich selbstän- digen Apotheker-Stellvertreters. Diese vom kantonalen Recht vor- gegebene Einschränkung ist zweifellos geeignet und erforderlich,</w:t>
      </w:r>
    </w:p>
    <w:p>
      <w:r>
        <w:t>3/3 Konzessionen und Bewilligungen PVG 2003 33 das angestrebte Ziel zu erreichen, zumal die (wirtschaftlich und fachlich) selbständige Führung einer Apotheke auch von Bundes- rechts wegen dem Inhaber eines entsprechenden eidgenössi- schen Diploms vorbehalten ist. Dass eine Assistentenbescheini- gung mitnichten ein solches Diplom darstellt, weil es dem Inhaber lediglich attestiert, auf dem Weg zum eidgenössischen Diplomab- schluss als Apotheker einen Zwischenabschluss erfolgreich absol- viert zu haben, ist offenkundig. Nicht entscheidend ist, dass der vorgesehene Stellvertreter bereits über eine reiche Praxiserfah- rung als Apothekerassistent verfügt. Diese vermag den verlangten Diplomabschluss nicht aufzuwiegen.</w:t>
      </w:r>
    </w:p>
    <w:p>
      <w:r>
        <w:rPr>
          <w:b/>
        </w:rPr>
        <w:t>E. 4</w:t>
      </w:r>
    </w:p>
    <w:p>
      <w:r>
        <w:t>In tatsächlicher Hinsicht steht fest, dass der Beschwer- deführer (nebst seinem Sohn als einzelzeichnungsberechtigter Kommanditär mit einer Kommanditsumme von Fr. 100000.–) auch nach Antragsstellung einzelzeichnungsberechtigter, unbeschränkt haftender Gesellschafter der nach wie vor bestehenden Komman- ditgesellschaft ist und bei welcher er von 1970 bis zur Gründung der AG im Jahr 2000 als Geschäftsführer tätig war. Die Komman- ditgesellschaft ist seit längerem nicht mehr produktiv tätig. Grosse Teile der Aktiven und Passiven der Gesellschaft wurden mit Sacheinlagevertrag vom 20. Dezember 2000 an die gleichen- tags neu gegründete Aktiengesellschaft übertragen. Einziges Akti- vum der Gesellschaft ist die Liegenschaft Parzelle Nr. 1015 (vgl. Jahresrechnung 2001, Position 161). Diese ist aber weit über ihren Wert belehnt (vgl. Jahresrechnung 2001, Position 244). Mit an Sicherheit grenzender Wahrscheinlichkeit ist die Reaktivierung der Kommanditgesellschaft durch den Beschwerdeführer ausge- schlossen. Es fehlt an der betrieblichen Infrastruktur insbesondere an Maschinen, Material und am notwendigen Kapital. Auch wenn der Beschwerdeführer formell einzelzeichnungsberechtigter un- beschränkt haftender Gesellschafter der Kommanditgesellschaft ist, hat er faktisch keine Möglichkeit mehr auf diese irgendwel- chen Einfluss zu nehmen und als Arbeitgeber zu wirken. Darum kann er auch keine arbeitgeberähnliche Stellung innehaben.</w:t>
      </w:r>
    </w:p>
    <w:p>
      <w:r>
        <w:rPr>
          <w:b/>
        </w:rPr>
        <w:t>E. 5</w:t>
      </w:r>
    </w:p>
    <w:p>
      <w:r>
        <w:t>Es kann somit festgehalten werden, dass der Beschwer- deführer das in Art. 8 Abs. 1 lit. f AVIG geforderte Erfordernis der Vermittlungsfähigkeit erfüllt. Seine Anspruchsberechtigung auf Leistungen der Arbeitslosenversicherung ist zu bejahen. Demzu- folge wird die angefochtene Verfügung unter Gutheissung der Be- schwerde aufgehoben. S 02 319 Urteil vom 21. März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